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5E11" w:rsidRPr="0007750C" w:rsidRDefault="00975E11" w:rsidP="00975E11">
      <w:pPr>
        <w:pStyle w:val="paragraph"/>
        <w:spacing w:after="0" w:line="360" w:lineRule="auto"/>
        <w:jc w:val="both"/>
        <w:rPr>
          <w:rFonts w:ascii="Arial" w:eastAsiaTheme="minorHAnsi" w:hAnsi="Arial"/>
          <w:b/>
          <w:sz w:val="20"/>
        </w:rPr>
      </w:pPr>
      <w:r w:rsidRPr="0007750C">
        <w:rPr>
          <w:rFonts w:ascii="Arial" w:eastAsiaTheme="minorHAnsi" w:hAnsi="Arial"/>
          <w:b/>
          <w:sz w:val="20"/>
        </w:rPr>
        <w:t>Instrukcja</w:t>
      </w:r>
    </w:p>
    <w:p w:rsidR="00975E11" w:rsidRPr="0007750C" w:rsidRDefault="00975E11" w:rsidP="00975E11">
      <w:pPr>
        <w:pStyle w:val="paragraph"/>
        <w:spacing w:after="0" w:line="360" w:lineRule="auto"/>
        <w:jc w:val="both"/>
        <w:rPr>
          <w:rFonts w:ascii="Arial" w:hAnsi="Arial"/>
          <w:b/>
          <w:sz w:val="20"/>
        </w:rPr>
      </w:pPr>
      <w:bookmarkStart w:id="0" w:name="_GoBack"/>
      <w:r w:rsidRPr="0007750C">
        <w:rPr>
          <w:rFonts w:ascii="Arial" w:hAnsi="Arial"/>
          <w:b/>
          <w:sz w:val="20"/>
        </w:rPr>
        <w:t xml:space="preserve">Zakup telewizora na cele działalności prowadzonej w mieszkaniu </w:t>
      </w:r>
      <w:bookmarkEnd w:id="0"/>
      <w:r w:rsidRPr="0007750C">
        <w:rPr>
          <w:rFonts w:ascii="Arial" w:hAnsi="Arial"/>
          <w:b/>
          <w:sz w:val="20"/>
        </w:rPr>
        <w:t>może być kosztem podatkowym</w:t>
      </w:r>
    </w:p>
    <w:p w:rsidR="00975E11" w:rsidRPr="0007750C" w:rsidRDefault="00975E11" w:rsidP="00975E11">
      <w:pPr>
        <w:pStyle w:val="paragraph"/>
        <w:spacing w:after="0" w:line="360" w:lineRule="auto"/>
        <w:jc w:val="both"/>
        <w:rPr>
          <w:rFonts w:ascii="Arial" w:hAnsi="Arial"/>
          <w:sz w:val="20"/>
        </w:rPr>
      </w:pPr>
      <w:r w:rsidRPr="0007750C">
        <w:rPr>
          <w:rFonts w:ascii="Arial" w:hAnsi="Arial"/>
          <w:sz w:val="20"/>
        </w:rPr>
        <w:t>Luiza Pieprzyk</w:t>
      </w:r>
    </w:p>
    <w:p w:rsidR="00975E11" w:rsidRDefault="00975E11" w:rsidP="00975E11">
      <w:pPr>
        <w:spacing w:after="0" w:line="360" w:lineRule="auto"/>
        <w:jc w:val="both"/>
        <w:rPr>
          <w:rFonts w:ascii="Arial" w:eastAsia="Times New Roman" w:hAnsi="Arial" w:cs="Arial"/>
          <w:sz w:val="20"/>
          <w:szCs w:val="20"/>
          <w:lang w:eastAsia="pl-PL"/>
        </w:rPr>
      </w:pPr>
    </w:p>
    <w:p w:rsidR="00975E11" w:rsidRPr="0007750C" w:rsidRDefault="00975E11" w:rsidP="00975E11">
      <w:pPr>
        <w:spacing w:after="0" w:line="360" w:lineRule="auto"/>
        <w:jc w:val="both"/>
        <w:rPr>
          <w:rFonts w:ascii="Arial" w:hAnsi="Arial"/>
          <w:sz w:val="20"/>
        </w:rPr>
      </w:pPr>
      <w:r w:rsidRPr="0007750C">
        <w:rPr>
          <w:rFonts w:ascii="Arial" w:hAnsi="Arial"/>
          <w:sz w:val="20"/>
        </w:rPr>
        <w:t>Jak się okazuje</w:t>
      </w:r>
      <w:r>
        <w:rPr>
          <w:rFonts w:ascii="Arial" w:eastAsia="Times New Roman" w:hAnsi="Arial" w:cs="Arial"/>
          <w:sz w:val="20"/>
          <w:szCs w:val="20"/>
          <w:lang w:eastAsia="pl-PL"/>
        </w:rPr>
        <w:t>,</w:t>
      </w:r>
      <w:r w:rsidRPr="0007750C">
        <w:rPr>
          <w:rFonts w:ascii="Arial" w:hAnsi="Arial"/>
          <w:sz w:val="20"/>
        </w:rPr>
        <w:t xml:space="preserve"> w niejednolitym orzecznictwie i podejściu fiskusa również telewizor może się znaleźć w kosztach podatkowych, jednak nie u każdego przedsiębiorcy. Wszystko zależy od profilu prowadzonej działalności gospodarczej</w:t>
      </w:r>
      <w:r>
        <w:rPr>
          <w:rFonts w:ascii="Arial" w:eastAsia="Times New Roman" w:hAnsi="Arial" w:cs="Arial"/>
          <w:sz w:val="20"/>
          <w:szCs w:val="20"/>
          <w:lang w:eastAsia="pl-PL"/>
        </w:rPr>
        <w:t>. P</w:t>
      </w:r>
      <w:r w:rsidRPr="006E4822">
        <w:rPr>
          <w:rFonts w:ascii="Arial" w:eastAsia="Times New Roman" w:hAnsi="Arial" w:cs="Arial"/>
          <w:sz w:val="20"/>
          <w:szCs w:val="20"/>
          <w:lang w:eastAsia="pl-PL"/>
        </w:rPr>
        <w:t>rzedsiębiorca</w:t>
      </w:r>
      <w:r w:rsidRPr="0007750C">
        <w:rPr>
          <w:rFonts w:ascii="Arial" w:hAnsi="Arial"/>
          <w:sz w:val="20"/>
        </w:rPr>
        <w:t xml:space="preserve"> musi udowodnić związek kosztu z uzyskaniem przychodu. Najczęściej nie będzie to związek bezpośredni, chyba że przedsiębiorca trudni się sprzedażą telewizorów. Tym razem chodzi o sytuacje, w których zakupiony telewizor stanowi majątek firmy, będzie na jej wyposażeniu. Zastanówmy się, jakie branże mogą wykorzystywać telewizor w firmie. </w:t>
      </w:r>
    </w:p>
    <w:p w:rsidR="00975E11" w:rsidRDefault="00975E11" w:rsidP="00975E11">
      <w:pPr>
        <w:spacing w:after="0" w:line="360" w:lineRule="auto"/>
        <w:jc w:val="both"/>
        <w:rPr>
          <w:rFonts w:ascii="Arial" w:eastAsia="Times New Roman" w:hAnsi="Arial" w:cs="Arial"/>
          <w:b/>
          <w:sz w:val="20"/>
          <w:szCs w:val="20"/>
          <w:lang w:eastAsia="pl-PL"/>
        </w:rPr>
      </w:pPr>
    </w:p>
    <w:p w:rsidR="00975E11" w:rsidRPr="0007750C" w:rsidRDefault="00975E11" w:rsidP="00975E11">
      <w:pPr>
        <w:spacing w:after="0" w:line="360" w:lineRule="auto"/>
        <w:jc w:val="both"/>
        <w:rPr>
          <w:rFonts w:ascii="Arial" w:hAnsi="Arial"/>
          <w:b/>
          <w:sz w:val="20"/>
        </w:rPr>
      </w:pPr>
      <w:r w:rsidRPr="0007750C">
        <w:rPr>
          <w:rFonts w:ascii="Arial" w:hAnsi="Arial"/>
          <w:b/>
          <w:sz w:val="20"/>
        </w:rPr>
        <w:t xml:space="preserve">Najważniejsza argumentacja </w:t>
      </w:r>
    </w:p>
    <w:p w:rsidR="00975E11" w:rsidRPr="0007750C" w:rsidRDefault="00975E11" w:rsidP="00975E11">
      <w:pPr>
        <w:spacing w:after="0" w:line="360" w:lineRule="auto"/>
        <w:jc w:val="both"/>
        <w:rPr>
          <w:rFonts w:ascii="Arial" w:hAnsi="Arial"/>
          <w:b/>
          <w:color w:val="FF0000"/>
          <w:sz w:val="20"/>
        </w:rPr>
      </w:pPr>
      <w:r w:rsidRPr="0007750C">
        <w:rPr>
          <w:rFonts w:ascii="Arial" w:hAnsi="Arial"/>
          <w:sz w:val="20"/>
        </w:rPr>
        <w:t xml:space="preserve">Należy przede wszystkim brać pod uwagę, że </w:t>
      </w:r>
      <w:r>
        <w:rPr>
          <w:rFonts w:ascii="Arial" w:eastAsia="Times New Roman" w:hAnsi="Arial" w:cs="Arial"/>
          <w:sz w:val="20"/>
          <w:szCs w:val="20"/>
          <w:lang w:eastAsia="pl-PL"/>
        </w:rPr>
        <w:t xml:space="preserve">obecnie </w:t>
      </w:r>
      <w:r w:rsidRPr="0007750C">
        <w:rPr>
          <w:rFonts w:ascii="Arial" w:hAnsi="Arial"/>
          <w:sz w:val="20"/>
        </w:rPr>
        <w:t xml:space="preserve">telewizor stał się bardziej monitorem wykorzystywanym do szkoleń i spotkań online, co jest idealną argumentacją potwierdzającą zasadność zakupu i możliwość uznania </w:t>
      </w:r>
      <w:r>
        <w:rPr>
          <w:rFonts w:ascii="Arial" w:eastAsia="Times New Roman" w:hAnsi="Arial" w:cs="Arial"/>
          <w:sz w:val="20"/>
          <w:szCs w:val="20"/>
          <w:lang w:eastAsia="pl-PL"/>
        </w:rPr>
        <w:t xml:space="preserve">zakupu </w:t>
      </w:r>
      <w:r w:rsidRPr="0007750C">
        <w:rPr>
          <w:rFonts w:ascii="Arial" w:hAnsi="Arial"/>
          <w:sz w:val="20"/>
        </w:rPr>
        <w:t xml:space="preserve">za koszt podatkowy oraz podatek naliczony w VAT. Wydatek na telewizor nie jest dość oczywisty z punktu widzenia każdej działalności gospodarczej, ale zawsze można znaleźć dobre rozwiązanie. </w:t>
      </w:r>
    </w:p>
    <w:p w:rsidR="00975E11" w:rsidRDefault="00975E11" w:rsidP="00975E11">
      <w:pPr>
        <w:spacing w:after="0" w:line="360" w:lineRule="auto"/>
        <w:jc w:val="both"/>
        <w:rPr>
          <w:rFonts w:ascii="Arial" w:hAnsi="Arial" w:cs="Arial"/>
          <w:b/>
          <w:sz w:val="20"/>
          <w:szCs w:val="20"/>
        </w:rPr>
      </w:pPr>
    </w:p>
    <w:p w:rsidR="00975E11" w:rsidRPr="0007750C" w:rsidRDefault="00975E11" w:rsidP="00975E11">
      <w:pPr>
        <w:spacing w:after="0" w:line="360" w:lineRule="auto"/>
        <w:jc w:val="both"/>
        <w:rPr>
          <w:rFonts w:ascii="Arial" w:hAnsi="Arial"/>
          <w:b/>
          <w:sz w:val="20"/>
        </w:rPr>
      </w:pPr>
      <w:r w:rsidRPr="0007750C">
        <w:rPr>
          <w:rFonts w:ascii="Arial" w:hAnsi="Arial"/>
          <w:b/>
          <w:sz w:val="20"/>
        </w:rPr>
        <w:t xml:space="preserve">Przykład – stan faktyczny podatnika </w:t>
      </w:r>
    </w:p>
    <w:p w:rsidR="00975E11" w:rsidRPr="0007750C" w:rsidRDefault="00975E11" w:rsidP="00975E11">
      <w:pPr>
        <w:spacing w:after="0" w:line="360" w:lineRule="auto"/>
        <w:jc w:val="both"/>
        <w:rPr>
          <w:rFonts w:ascii="Arial" w:hAnsi="Arial"/>
          <w:sz w:val="20"/>
        </w:rPr>
      </w:pPr>
      <w:r w:rsidRPr="0007750C">
        <w:rPr>
          <w:rFonts w:ascii="Arial" w:hAnsi="Arial"/>
          <w:sz w:val="20"/>
        </w:rPr>
        <w:t xml:space="preserve">Pewien podatnik (osoba fizyczna) prowadzi działalność gospodarczą </w:t>
      </w:r>
      <w:r w:rsidRPr="006E4822">
        <w:rPr>
          <w:rFonts w:ascii="Arial" w:hAnsi="Arial" w:cs="Arial"/>
          <w:sz w:val="20"/>
          <w:szCs w:val="20"/>
        </w:rPr>
        <w:t>jak</w:t>
      </w:r>
      <w:r>
        <w:rPr>
          <w:rFonts w:ascii="Arial" w:hAnsi="Arial" w:cs="Arial"/>
          <w:sz w:val="20"/>
          <w:szCs w:val="20"/>
        </w:rPr>
        <w:t>o</w:t>
      </w:r>
      <w:r w:rsidRPr="0007750C">
        <w:rPr>
          <w:rFonts w:ascii="Arial" w:hAnsi="Arial"/>
          <w:sz w:val="20"/>
        </w:rPr>
        <w:t xml:space="preserve"> tzw. prawnik procesowy. W ramach zlecanych czynności prowadzi on sprawy sądowe dla banku, z którym współpracuje. Przed pandemią COVID-19 pracę wykonywał w siedzibie w banku lub w sądach na rozprawach zleconych przez kontrahenta. Od marca 2020 r. prawnik świadczy pracę wyłącznie zdalnie, z siedziby kancelarii zarejestrowanej w jego mieszkaniu, w którym mieszka. Spotkania robocze w banku odbywają się zdalnie za pośrednictwem programu MS </w:t>
      </w:r>
      <w:proofErr w:type="spellStart"/>
      <w:r w:rsidRPr="0007750C">
        <w:rPr>
          <w:rFonts w:ascii="Arial" w:hAnsi="Arial"/>
          <w:sz w:val="20"/>
        </w:rPr>
        <w:t>Teams</w:t>
      </w:r>
      <w:proofErr w:type="spellEnd"/>
      <w:r w:rsidRPr="0007750C">
        <w:rPr>
          <w:rFonts w:ascii="Arial" w:hAnsi="Arial"/>
          <w:sz w:val="20"/>
        </w:rPr>
        <w:t xml:space="preserve">. Podczas spotkań pojawia się konieczność prezentowania udostępnionej przez innych członków zespołu zawartości ekranu (tzw. </w:t>
      </w:r>
      <w:proofErr w:type="spellStart"/>
      <w:r w:rsidRPr="0007750C">
        <w:rPr>
          <w:rFonts w:ascii="Arial" w:hAnsi="Arial"/>
          <w:i/>
          <w:sz w:val="20"/>
        </w:rPr>
        <w:t>screen-sharing</w:t>
      </w:r>
      <w:proofErr w:type="spellEnd"/>
      <w:r w:rsidRPr="0007750C">
        <w:rPr>
          <w:rFonts w:ascii="Arial" w:hAnsi="Arial"/>
          <w:sz w:val="20"/>
        </w:rPr>
        <w:t>). Obecnie rozprawy wyznaczane przez sądy coraz częściej odbywają się jako rozprawy zdalne. Sąd przesyła z odpowiednim wyprzedzeniem link na rozprawę, pod którym rozpoznawana jest sprawa sądowa. W związku z potrzebą ciągłej komunikacji elektronicznej z głównym kontrahentem, a także udziału w rozprawach zdalnych</w:t>
      </w:r>
      <w:r>
        <w:rPr>
          <w:rFonts w:ascii="Arial" w:hAnsi="Arial" w:cs="Arial"/>
          <w:sz w:val="20"/>
          <w:szCs w:val="20"/>
        </w:rPr>
        <w:t>,</w:t>
      </w:r>
      <w:r w:rsidRPr="0007750C">
        <w:rPr>
          <w:rFonts w:ascii="Arial" w:hAnsi="Arial"/>
          <w:sz w:val="20"/>
        </w:rPr>
        <w:t xml:space="preserve"> podatnik zamierza zakupić telewizor, który ma służyć jako duży ekran komputerowy do wideokonferencji oraz do prezentowania udostępnionej przez innych członków zespołu zawartości ekranu (tzw. </w:t>
      </w:r>
      <w:proofErr w:type="spellStart"/>
      <w:r w:rsidRPr="0007750C">
        <w:rPr>
          <w:rFonts w:ascii="Arial" w:hAnsi="Arial"/>
          <w:i/>
          <w:sz w:val="20"/>
        </w:rPr>
        <w:t>screen-sharing</w:t>
      </w:r>
      <w:proofErr w:type="spellEnd"/>
      <w:r w:rsidRPr="0007750C">
        <w:rPr>
          <w:rFonts w:ascii="Arial" w:hAnsi="Arial"/>
          <w:sz w:val="20"/>
        </w:rPr>
        <w:t xml:space="preserve">). W mieszkaniu podatnika brak jest wydzielonego pomieszczenia na cele prowadzenia działalności gospodarczej. Telewizor zostanie powieszony w pomieszczeniu, w którym prawnik wykonuje swoje obowiązki służbowe. Poza czasem pracy pomieszczenie wykorzystywane jest </w:t>
      </w:r>
      <w:r w:rsidRPr="006E4822">
        <w:rPr>
          <w:rFonts w:ascii="Arial" w:hAnsi="Arial" w:cs="Arial"/>
          <w:sz w:val="20"/>
          <w:szCs w:val="20"/>
        </w:rPr>
        <w:t>do</w:t>
      </w:r>
      <w:r>
        <w:rPr>
          <w:rFonts w:ascii="Arial" w:hAnsi="Arial" w:cs="Arial"/>
          <w:sz w:val="20"/>
          <w:szCs w:val="20"/>
        </w:rPr>
        <w:t xml:space="preserve"> </w:t>
      </w:r>
      <w:r w:rsidRPr="0007750C">
        <w:rPr>
          <w:rFonts w:ascii="Arial" w:hAnsi="Arial"/>
          <w:sz w:val="20"/>
        </w:rPr>
        <w:t xml:space="preserve">jego celów prywatnych. Podatnik ma wątpliwości, czy wydatki poniesione na zakup telewizora mogą stanowić koszt uzyskania przychodu w całości. W jego ocenie wydatki poniesione na zakup telewizora spełniają przesłanki, o których mowa w art. 22 ust. 1 ustawy o </w:t>
      </w:r>
      <w:r w:rsidRPr="0007750C">
        <w:rPr>
          <w:rFonts w:ascii="Arial" w:hAnsi="Arial"/>
          <w:sz w:val="20"/>
        </w:rPr>
        <w:lastRenderedPageBreak/>
        <w:t>podatku dochodowym od osób fizycznych (odpowiednio art. 15 ust. 1 ustawy o CIT). Tym samym wydatki te można uznać za koszty podatkowe, które zostały poniesione w celu osiągnięcia przychodów z pozarolniczej działalności gospodarczej.</w:t>
      </w:r>
    </w:p>
    <w:p w:rsidR="00975E11" w:rsidRDefault="00975E11" w:rsidP="00975E11">
      <w:pPr>
        <w:spacing w:after="0" w:line="360" w:lineRule="auto"/>
        <w:jc w:val="both"/>
        <w:rPr>
          <w:rFonts w:ascii="Arial" w:hAnsi="Arial" w:cs="Arial"/>
          <w:b/>
          <w:sz w:val="20"/>
          <w:szCs w:val="20"/>
        </w:rPr>
      </w:pPr>
    </w:p>
    <w:p w:rsidR="00975E11" w:rsidRPr="0007750C" w:rsidRDefault="00975E11" w:rsidP="00975E11">
      <w:pPr>
        <w:spacing w:after="0" w:line="360" w:lineRule="auto"/>
        <w:jc w:val="both"/>
        <w:rPr>
          <w:rFonts w:ascii="Arial" w:hAnsi="Arial"/>
          <w:b/>
          <w:sz w:val="20"/>
        </w:rPr>
      </w:pPr>
      <w:r w:rsidRPr="0007750C">
        <w:rPr>
          <w:rFonts w:ascii="Arial" w:hAnsi="Arial"/>
          <w:b/>
          <w:sz w:val="20"/>
        </w:rPr>
        <w:t xml:space="preserve">Co na to fiskus? </w:t>
      </w:r>
    </w:p>
    <w:p w:rsidR="00975E11" w:rsidRPr="0007750C" w:rsidRDefault="00975E11" w:rsidP="00975E11">
      <w:pPr>
        <w:spacing w:after="0" w:line="360" w:lineRule="auto"/>
        <w:jc w:val="both"/>
        <w:rPr>
          <w:rFonts w:ascii="Arial" w:hAnsi="Arial"/>
          <w:sz w:val="20"/>
        </w:rPr>
      </w:pPr>
      <w:r w:rsidRPr="0007750C">
        <w:rPr>
          <w:rFonts w:ascii="Arial" w:hAnsi="Arial"/>
          <w:sz w:val="20"/>
        </w:rPr>
        <w:t>Organ podatkowy zgodził się ze stanowiskiem podatnika. W zakresie obowiązków podatnika</w:t>
      </w:r>
      <w:r>
        <w:rPr>
          <w:rFonts w:ascii="Arial" w:hAnsi="Arial" w:cs="Arial"/>
          <w:sz w:val="20"/>
          <w:szCs w:val="20"/>
        </w:rPr>
        <w:t>,</w:t>
      </w:r>
      <w:r w:rsidRPr="0007750C">
        <w:rPr>
          <w:rFonts w:ascii="Arial" w:hAnsi="Arial"/>
          <w:sz w:val="20"/>
        </w:rPr>
        <w:t xml:space="preserve"> jako odnoszącego ewidentną korzyść z faktu zaliczenia określonych wydatków w poczet kosztów uzyskania przychodów</w:t>
      </w:r>
      <w:r>
        <w:rPr>
          <w:rFonts w:ascii="Arial" w:hAnsi="Arial" w:cs="Arial"/>
          <w:sz w:val="20"/>
          <w:szCs w:val="20"/>
        </w:rPr>
        <w:t>,</w:t>
      </w:r>
      <w:r w:rsidRPr="0007750C">
        <w:rPr>
          <w:rFonts w:ascii="Arial" w:hAnsi="Arial"/>
          <w:sz w:val="20"/>
        </w:rPr>
        <w:t xml:space="preserve"> jest wykazanie na podstawie zgromadzonych dowodów związku między poniesieniem kosztu a uzyskaniem przychodu, zgodnie z art. 22 ust. 1 powyższej ustawy</w:t>
      </w:r>
      <w:r>
        <w:rPr>
          <w:rFonts w:ascii="Arial" w:hAnsi="Arial" w:cs="Arial"/>
          <w:sz w:val="20"/>
          <w:szCs w:val="20"/>
        </w:rPr>
        <w:t>, p</w:t>
      </w:r>
      <w:r w:rsidRPr="006E4822">
        <w:rPr>
          <w:rFonts w:ascii="Arial" w:hAnsi="Arial" w:cs="Arial"/>
          <w:sz w:val="20"/>
          <w:szCs w:val="20"/>
        </w:rPr>
        <w:t>rzy</w:t>
      </w:r>
      <w:r w:rsidRPr="0007750C">
        <w:rPr>
          <w:rFonts w:ascii="Arial" w:hAnsi="Arial"/>
          <w:sz w:val="20"/>
        </w:rPr>
        <w:t xml:space="preserve"> czym związek przyczynowy między poniesieniem wydatku a osiągnięciem przychodu bądź zachowaniem lub zabezpieczeniem jego źródła należy oceniać indywidualnie w stosunku do każdego wydatku. W świetle okoliczności stanu faktycznego w czasie </w:t>
      </w:r>
      <w:r w:rsidRPr="006E4822">
        <w:rPr>
          <w:rFonts w:ascii="Arial" w:hAnsi="Arial" w:cs="Arial"/>
          <w:sz w:val="20"/>
          <w:szCs w:val="20"/>
        </w:rPr>
        <w:t>zadawan</w:t>
      </w:r>
      <w:r>
        <w:rPr>
          <w:rFonts w:ascii="Arial" w:hAnsi="Arial" w:cs="Arial"/>
          <w:sz w:val="20"/>
          <w:szCs w:val="20"/>
        </w:rPr>
        <w:t>ia</w:t>
      </w:r>
      <w:r w:rsidRPr="0007750C">
        <w:rPr>
          <w:rFonts w:ascii="Arial" w:hAnsi="Arial"/>
          <w:sz w:val="20"/>
        </w:rPr>
        <w:t xml:space="preserve"> pytania do dyrektora KIS wydatek poniesiony przez podatnika na zakup telewizora na potrzeby związane z prowadzoną działalnością gospodarczą spełnia przesłanki, o których mowa w art. 22 ust. 1 ustawy. W tej sytuacji</w:t>
      </w:r>
      <w:r>
        <w:rPr>
          <w:rFonts w:ascii="Arial" w:hAnsi="Arial" w:cs="Arial"/>
          <w:sz w:val="20"/>
          <w:szCs w:val="20"/>
        </w:rPr>
        <w:t>,</w:t>
      </w:r>
      <w:r w:rsidRPr="0007750C">
        <w:rPr>
          <w:rFonts w:ascii="Arial" w:hAnsi="Arial"/>
          <w:sz w:val="20"/>
        </w:rPr>
        <w:t xml:space="preserve"> o ile wartość początkowa telewizora nie przekroczy 10 000 zł</w:t>
      </w:r>
      <w:r>
        <w:rPr>
          <w:rFonts w:ascii="Arial" w:hAnsi="Arial" w:cs="Arial"/>
          <w:sz w:val="20"/>
          <w:szCs w:val="20"/>
        </w:rPr>
        <w:t>,</w:t>
      </w:r>
      <w:r w:rsidRPr="0007750C">
        <w:rPr>
          <w:rFonts w:ascii="Arial" w:hAnsi="Arial"/>
          <w:sz w:val="20"/>
        </w:rPr>
        <w:t xml:space="preserve"> przedmiotowy wydatek można uznać za koszt uzyskania przychodu z pozarolniczej działalności gospodarczej. Jednocześnie należy pamiętać, że zgodnie z art. 23 ust. 1 pkt 49 tejże ustawy (taki sam zapis widnieje w ustawie o CIT</w:t>
      </w:r>
      <w:r w:rsidRPr="006E4822">
        <w:rPr>
          <w:rFonts w:ascii="Arial" w:hAnsi="Arial" w:cs="Arial"/>
          <w:sz w:val="20"/>
          <w:szCs w:val="20"/>
        </w:rPr>
        <w:t>)</w:t>
      </w:r>
      <w:r w:rsidRPr="0007750C">
        <w:rPr>
          <w:rFonts w:ascii="Arial" w:hAnsi="Arial"/>
          <w:sz w:val="20"/>
        </w:rPr>
        <w:t xml:space="preserve"> za koszty uzyskania przychodu nie uważa się wydatków poniesionych na zakup zużywających się stopniowo rzeczowych składników majątku przedsiębiorstwa, niezaliczanych zgodnie z odrębnymi przepisami do środków trwałych</w:t>
      </w:r>
      <w:r>
        <w:rPr>
          <w:rFonts w:ascii="Arial" w:hAnsi="Arial" w:cs="Arial"/>
          <w:sz w:val="20"/>
          <w:szCs w:val="20"/>
        </w:rPr>
        <w:t>,</w:t>
      </w:r>
      <w:r w:rsidRPr="0007750C">
        <w:rPr>
          <w:rFonts w:ascii="Arial" w:hAnsi="Arial"/>
          <w:sz w:val="20"/>
        </w:rPr>
        <w:t xml:space="preserve"> w przypadku stwierdzenia, że składniki te nie są wykorzystywane dla celów prowadzonej działalności gospodarczej, lecz służą celom osobistym podatnika, pracowników lub innych osób albo bez uzasadnienia znajdują się poza siedzibą przedsiębiorstwa. Uznanie przez organ podatkowy za koszty uzyskania przychodów zakupu telewizora w ramach jednoosobowej działalności prowadzonej w mieszkaniu jest kolejną korzystną interpretacją, która została wydana w ostatnim czasie w zakresie tzw. wydatków osobistych.</w:t>
      </w:r>
    </w:p>
    <w:p w:rsidR="00975E11" w:rsidRDefault="00975E11" w:rsidP="00975E11">
      <w:pPr>
        <w:spacing w:after="0" w:line="360" w:lineRule="auto"/>
        <w:jc w:val="both"/>
        <w:rPr>
          <w:rFonts w:ascii="Arial" w:hAnsi="Arial" w:cs="Arial"/>
          <w:b/>
          <w:sz w:val="20"/>
          <w:szCs w:val="20"/>
        </w:rPr>
      </w:pPr>
    </w:p>
    <w:p w:rsidR="00975E11" w:rsidRPr="0007750C" w:rsidRDefault="00975E11" w:rsidP="00975E11">
      <w:pPr>
        <w:spacing w:after="0" w:line="360" w:lineRule="auto"/>
        <w:jc w:val="both"/>
        <w:rPr>
          <w:rFonts w:ascii="Arial" w:hAnsi="Arial"/>
          <w:b/>
          <w:sz w:val="20"/>
        </w:rPr>
      </w:pPr>
      <w:r w:rsidRPr="0007750C">
        <w:rPr>
          <w:rFonts w:ascii="Arial" w:hAnsi="Arial"/>
          <w:b/>
          <w:sz w:val="20"/>
        </w:rPr>
        <w:t>Podstawa prawna</w:t>
      </w:r>
    </w:p>
    <w:p w:rsidR="00975E11" w:rsidRPr="0007750C" w:rsidRDefault="00975E11" w:rsidP="00975E11">
      <w:pPr>
        <w:pStyle w:val="Akapitzlist"/>
        <w:numPr>
          <w:ilvl w:val="0"/>
          <w:numId w:val="1"/>
        </w:numPr>
        <w:spacing w:after="0" w:line="360" w:lineRule="auto"/>
        <w:ind w:left="284" w:hanging="284"/>
        <w:jc w:val="both"/>
        <w:rPr>
          <w:rFonts w:ascii="Arial" w:hAnsi="Arial"/>
          <w:sz w:val="20"/>
        </w:rPr>
      </w:pPr>
      <w:r w:rsidRPr="0007750C">
        <w:rPr>
          <w:rFonts w:ascii="Arial" w:hAnsi="Arial"/>
          <w:sz w:val="20"/>
        </w:rPr>
        <w:t xml:space="preserve">Interpretacja indywidualna Dyrektora Krajowej Informacji Skarbowej z dnia 19 lipca 2021 r., </w:t>
      </w:r>
      <w:r>
        <w:rPr>
          <w:rFonts w:ascii="Arial" w:hAnsi="Arial"/>
          <w:sz w:val="20"/>
        </w:rPr>
        <w:t xml:space="preserve">znak: </w:t>
      </w:r>
      <w:r w:rsidRPr="0007750C">
        <w:rPr>
          <w:rFonts w:ascii="Arial" w:hAnsi="Arial"/>
          <w:sz w:val="20"/>
        </w:rPr>
        <w:t>0115-KDWT.4011.191.2021.1.KG</w:t>
      </w:r>
      <w:r>
        <w:rPr>
          <w:rFonts w:ascii="Arial" w:hAnsi="Arial" w:cs="Arial"/>
          <w:sz w:val="20"/>
          <w:szCs w:val="20"/>
        </w:rPr>
        <w:t>.</w:t>
      </w:r>
    </w:p>
    <w:p w:rsidR="00975E11" w:rsidRPr="0007750C" w:rsidRDefault="00975E11" w:rsidP="00975E11">
      <w:pPr>
        <w:pStyle w:val="Akapitzlist"/>
        <w:numPr>
          <w:ilvl w:val="0"/>
          <w:numId w:val="1"/>
        </w:numPr>
        <w:spacing w:after="0" w:line="360" w:lineRule="auto"/>
        <w:ind w:left="284" w:hanging="284"/>
        <w:jc w:val="both"/>
        <w:rPr>
          <w:rFonts w:ascii="Arial" w:hAnsi="Arial"/>
          <w:sz w:val="20"/>
        </w:rPr>
      </w:pPr>
      <w:r w:rsidRPr="0007750C">
        <w:rPr>
          <w:rFonts w:ascii="Arial" w:hAnsi="Arial"/>
          <w:sz w:val="20"/>
        </w:rPr>
        <w:t xml:space="preserve">Interpretacja indywidualna Dyrektora Krajowej Informacji Skarbowej z dnia 25 kwietnia 2022 r., </w:t>
      </w:r>
      <w:r>
        <w:rPr>
          <w:rFonts w:ascii="Arial" w:hAnsi="Arial"/>
          <w:sz w:val="20"/>
        </w:rPr>
        <w:t xml:space="preserve">znak: </w:t>
      </w:r>
      <w:hyperlink r:id="rId5" w:history="1">
        <w:r w:rsidRPr="0007750C">
          <w:rPr>
            <w:rFonts w:ascii="Arial" w:hAnsi="Arial"/>
            <w:sz w:val="20"/>
          </w:rPr>
          <w:t>0114-KDIP2-1.4011.250.2022.2.KW</w:t>
        </w:r>
      </w:hyperlink>
      <w:r>
        <w:rPr>
          <w:rFonts w:ascii="Arial" w:hAnsi="Arial" w:cs="Arial"/>
          <w:sz w:val="20"/>
          <w:szCs w:val="20"/>
        </w:rPr>
        <w:t>.</w:t>
      </w:r>
    </w:p>
    <w:p w:rsidR="00975E11" w:rsidRPr="0007750C" w:rsidRDefault="00975E11" w:rsidP="00975E11">
      <w:pPr>
        <w:pStyle w:val="Akapitzlist"/>
        <w:numPr>
          <w:ilvl w:val="0"/>
          <w:numId w:val="1"/>
        </w:numPr>
        <w:spacing w:after="0" w:line="360" w:lineRule="auto"/>
        <w:ind w:left="284" w:hanging="284"/>
        <w:jc w:val="both"/>
        <w:rPr>
          <w:rFonts w:ascii="Arial" w:hAnsi="Arial"/>
          <w:b/>
          <w:color w:val="FF0000"/>
          <w:sz w:val="20"/>
        </w:rPr>
      </w:pPr>
      <w:r w:rsidRPr="0007750C">
        <w:rPr>
          <w:rFonts w:ascii="Arial" w:hAnsi="Arial"/>
          <w:sz w:val="20"/>
        </w:rPr>
        <w:t xml:space="preserve">Interpretacja indywidualna Dyrektora Krajowej Informacji Skarbowej z dnia 4 stycznia 2023 r., </w:t>
      </w:r>
      <w:r>
        <w:rPr>
          <w:rFonts w:ascii="Arial" w:hAnsi="Arial"/>
          <w:sz w:val="20"/>
        </w:rPr>
        <w:t xml:space="preserve">znak: </w:t>
      </w:r>
      <w:r w:rsidRPr="0007750C">
        <w:rPr>
          <w:rFonts w:ascii="Arial" w:hAnsi="Arial"/>
          <w:sz w:val="20"/>
        </w:rPr>
        <w:t>0115-KIT3.4011.801.2022.1.JG.</w:t>
      </w:r>
    </w:p>
    <w:p w:rsidR="00D90910" w:rsidRDefault="00975E11"/>
    <w:sectPr w:rsidR="00D9091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044AF5"/>
    <w:multiLevelType w:val="hybridMultilevel"/>
    <w:tmpl w:val="9A32FADC"/>
    <w:lvl w:ilvl="0" w:tplc="78F85D0E">
      <w:start w:val="1"/>
      <w:numFmt w:val="decimal"/>
      <w:lvlText w:val="%1."/>
      <w:lvlJc w:val="left"/>
      <w:pPr>
        <w:ind w:left="720" w:hanging="360"/>
      </w:pPr>
      <w:rPr>
        <w:rFonts w:hint="default"/>
        <w:b w:val="0"/>
        <w:bCs/>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5E11"/>
    <w:rsid w:val="000D1C75"/>
    <w:rsid w:val="00145EA7"/>
    <w:rsid w:val="00176F9F"/>
    <w:rsid w:val="0037762B"/>
    <w:rsid w:val="00386D4D"/>
    <w:rsid w:val="003A5C16"/>
    <w:rsid w:val="0040026E"/>
    <w:rsid w:val="005C5832"/>
    <w:rsid w:val="005E22D0"/>
    <w:rsid w:val="00625083"/>
    <w:rsid w:val="00737B47"/>
    <w:rsid w:val="00767729"/>
    <w:rsid w:val="00975E11"/>
    <w:rsid w:val="00AB0A99"/>
    <w:rsid w:val="00B164D6"/>
    <w:rsid w:val="00BD6789"/>
    <w:rsid w:val="00C84BAB"/>
    <w:rsid w:val="00D97F5D"/>
    <w:rsid w:val="00E54E2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D3CC648-46FF-4DE9-B2E8-A1B4E4D33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975E11"/>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umerowanie,List Paragraph"/>
    <w:basedOn w:val="Normalny"/>
    <w:link w:val="AkapitzlistZnak"/>
    <w:uiPriority w:val="34"/>
    <w:qFormat/>
    <w:rsid w:val="00975E11"/>
    <w:pPr>
      <w:ind w:left="720"/>
      <w:contextualSpacing/>
    </w:pPr>
  </w:style>
  <w:style w:type="character" w:customStyle="1" w:styleId="AkapitzlistZnak">
    <w:name w:val="Akapit z listą Znak"/>
    <w:aliases w:val="Numerowanie Znak,List Paragraph Znak"/>
    <w:basedOn w:val="Domylnaczcionkaakapitu"/>
    <w:link w:val="Akapitzlist"/>
    <w:uiPriority w:val="34"/>
    <w:locked/>
    <w:rsid w:val="00975E11"/>
  </w:style>
  <w:style w:type="paragraph" w:customStyle="1" w:styleId="paragraph">
    <w:name w:val="paragraph"/>
    <w:basedOn w:val="Normalny"/>
    <w:rsid w:val="00975E11"/>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eureka.mf.gov.pl/informacje/podglad/487836;keyWords=0112-KDIL2-2.4011.657.2020.1.KP"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781</Words>
  <Characters>4688</Characters>
  <Application>Microsoft Office Word</Application>
  <DocSecurity>0</DocSecurity>
  <Lines>39</Lines>
  <Paragraphs>10</Paragraphs>
  <ScaleCrop>false</ScaleCrop>
  <HeadingPairs>
    <vt:vector size="2" baseType="variant">
      <vt:variant>
        <vt:lpstr>Tytuł</vt:lpstr>
      </vt:variant>
      <vt:variant>
        <vt:i4>1</vt:i4>
      </vt:variant>
    </vt:vector>
  </HeadingPairs>
  <TitlesOfParts>
    <vt:vector size="1" baseType="lpstr">
      <vt:lpstr/>
    </vt:vector>
  </TitlesOfParts>
  <Company>Forum Media Polska</Company>
  <LinksUpToDate>false</LinksUpToDate>
  <CharactersWithSpaces>5459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Bojszczak Ewelina</dc:creator>
  <cp:keywords/>
  <dc:description/>
  <cp:lastModifiedBy>Bojszczak Ewelina</cp:lastModifiedBy>
  <cp:revision>1</cp:revision>
  <dcterms:created xsi:type="dcterms:W3CDTF">2024-08-02T11:50:00Z</dcterms:created>
  <dcterms:modified xsi:type="dcterms:W3CDTF">2024-08-02T11:50:00Z</dcterms:modified>
</cp:coreProperties>
</file>